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pict>
          <v:rect style="position:absolute;margin-left:588.960022pt;margin-top:0pt;width:14.04pt;height:783pt;mso-position-horizontal-relative:page;mso-position-vertical-relative:page;z-index:251658240" filled="true" fillcolor="#0c426a" stroked="false">
            <v:fill type="solid"/>
            <w10:wrap type="none"/>
          </v:rect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2" w:after="0"/>
        <w:rPr>
          <w:rFonts w:ascii="Times New Roman"/>
          <w:sz w:val="13"/>
        </w:rPr>
      </w:pPr>
    </w:p>
    <w:tbl>
      <w:tblPr>
        <w:tblW w:w="0" w:type="auto"/>
        <w:jc w:val="left"/>
        <w:tblInd w:w="163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"/>
        <w:gridCol w:w="8652"/>
        <w:gridCol w:w="1632"/>
      </w:tblGrid>
      <w:tr>
        <w:trPr>
          <w:trHeight w:val="902" w:hRule="atLeast"/>
        </w:trPr>
        <w:tc>
          <w:tcPr>
            <w:tcW w:w="8934" w:type="dxa"/>
            <w:gridSpan w:val="2"/>
            <w:tcBorders>
              <w:top w:val="nil"/>
              <w:left w:val="nil"/>
              <w:bottom w:val="nil"/>
            </w:tcBorders>
            <w:shd w:val="clear" w:color="auto" w:fill="008445"/>
          </w:tcPr>
          <w:p>
            <w:pPr>
              <w:pStyle w:val="TableParagraph"/>
              <w:spacing w:before="152"/>
              <w:ind w:left="100"/>
              <w:rPr>
                <w:b/>
                <w:sz w:val="24"/>
              </w:rPr>
            </w:pPr>
            <w:r>
              <w:rPr>
                <w:b/>
                <w:color w:val="FFFFFF"/>
                <w:w w:val="110"/>
                <w:sz w:val="24"/>
              </w:rPr>
              <w:t>Cycle of Inquiry</w:t>
            </w:r>
          </w:p>
          <w:p>
            <w:pPr>
              <w:pStyle w:val="TableParagraph"/>
              <w:spacing w:before="28"/>
              <w:ind w:left="100"/>
              <w:rPr>
                <w:sz w:val="24"/>
              </w:rPr>
            </w:pPr>
            <w:r>
              <w:rPr>
                <w:color w:val="FFFFFF"/>
                <w:w w:val="120"/>
                <w:sz w:val="24"/>
              </w:rPr>
              <w:t>Interpreting Thinking</w:t>
            </w:r>
          </w:p>
        </w:tc>
        <w:tc>
          <w:tcPr>
            <w:tcW w:w="1632" w:type="dxa"/>
            <w:tcBorders>
              <w:top w:val="nil"/>
              <w:bottom w:val="nil"/>
              <w:right w:val="nil"/>
            </w:tcBorders>
            <w:shd w:val="clear" w:color="auto" w:fill="008445"/>
          </w:tcPr>
          <w:p>
            <w:pPr>
              <w:pStyle w:val="TableParagraph"/>
              <w:spacing w:before="87"/>
              <w:ind w:left="490"/>
              <w:rPr>
                <w:b/>
                <w:sz w:val="64"/>
              </w:rPr>
            </w:pPr>
            <w:r>
              <w:rPr>
                <w:b/>
                <w:color w:val="FFFFFF"/>
                <w:w w:val="110"/>
                <w:sz w:val="64"/>
              </w:rPr>
              <w:t>IT</w:t>
            </w:r>
          </w:p>
        </w:tc>
      </w:tr>
      <w:tr>
        <w:trPr>
          <w:trHeight w:val="623" w:hRule="atLeast"/>
        </w:trPr>
        <w:tc>
          <w:tcPr>
            <w:tcW w:w="10566" w:type="dxa"/>
            <w:gridSpan w:val="3"/>
            <w:tcBorders>
              <w:top w:val="nil"/>
              <w:left w:val="single" w:sz="18" w:space="0" w:color="008B4F"/>
              <w:bottom w:val="single" w:sz="18" w:space="0" w:color="008B4F"/>
              <w:right w:val="single" w:sz="18" w:space="0" w:color="008445"/>
            </w:tcBorders>
            <w:shd w:val="clear" w:color="auto" w:fill="EEF2ED"/>
          </w:tcPr>
          <w:p>
            <w:pPr>
              <w:pStyle w:val="TableParagraph"/>
              <w:tabs>
                <w:tab w:pos="7391" w:val="left" w:leader="none"/>
              </w:tabs>
              <w:spacing w:line="268" w:lineRule="exact" w:before="66"/>
              <w:rPr>
                <w:sz w:val="18"/>
              </w:rPr>
            </w:pPr>
            <w:r>
              <w:rPr>
                <w:color w:val="414042"/>
                <w:spacing w:val="-3"/>
                <w:w w:val="110"/>
                <w:position w:val="9"/>
                <w:sz w:val="18"/>
              </w:rPr>
              <w:t>Tag:</w:t>
              <w:tab/>
            </w:r>
            <w:r>
              <w:rPr>
                <w:color w:val="414042"/>
                <w:spacing w:val="2"/>
                <w:w w:val="110"/>
                <w:sz w:val="18"/>
              </w:rPr>
              <w:t>Date:</w:t>
            </w:r>
          </w:p>
          <w:p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414042"/>
                <w:w w:val="115"/>
                <w:sz w:val="18"/>
              </w:rPr>
              <w:t>Interpreters:</w:t>
            </w:r>
          </w:p>
        </w:tc>
      </w:tr>
      <w:tr>
        <w:trPr>
          <w:trHeight w:val="941" w:hRule="atLeast"/>
        </w:trPr>
        <w:tc>
          <w:tcPr>
            <w:tcW w:w="10566" w:type="dxa"/>
            <w:gridSpan w:val="3"/>
            <w:tcBorders>
              <w:top w:val="single" w:sz="18" w:space="0" w:color="008B4F"/>
              <w:left w:val="single" w:sz="18" w:space="0" w:color="008B4F"/>
              <w:bottom w:val="single" w:sz="18" w:space="0" w:color="008B4F"/>
              <w:right w:val="single" w:sz="18" w:space="0" w:color="008445"/>
            </w:tcBorders>
            <w:shd w:val="clear" w:color="auto" w:fill="EEF2ED"/>
          </w:tcPr>
          <w:p>
            <w:pPr>
              <w:pStyle w:val="TableParagraph"/>
              <w:spacing w:before="45"/>
              <w:rPr>
                <w:b/>
                <w:sz w:val="17"/>
              </w:rPr>
            </w:pPr>
            <w:r>
              <w:rPr>
                <w:b/>
                <w:color w:val="414042"/>
                <w:w w:val="110"/>
                <w:sz w:val="17"/>
              </w:rPr>
              <w:t>Speculate on what the children are doing and thinking.</w:t>
            </w:r>
          </w:p>
          <w:p>
            <w:pPr>
              <w:pStyle w:val="TableParagraph"/>
              <w:spacing w:line="288" w:lineRule="auto" w:before="119"/>
              <w:ind w:right="335"/>
              <w:rPr>
                <w:rFonts w:ascii="Arial-BoldItalicMT" w:hAnsi="Arial-BoldItalicMT"/>
                <w:b/>
                <w:i/>
                <w:sz w:val="16"/>
              </w:rPr>
            </w:pPr>
            <w:r>
              <w:rPr>
                <w:color w:val="414042"/>
                <w:w w:val="110"/>
                <w:sz w:val="16"/>
              </w:rPr>
              <w:t>In the next two boxes, keep in mind that you’re looking for emerging threads of play that have the most potential for advancing play toward children’s inquiry. </w:t>
            </w:r>
            <w:r>
              <w:rPr>
                <w:rFonts w:ascii="Arial-BoldItalicMT" w:hAnsi="Arial-BoldItalicMT"/>
                <w:b/>
                <w:i/>
                <w:color w:val="414042"/>
                <w:w w:val="110"/>
                <w:sz w:val="16"/>
              </w:rPr>
              <w:t>You are forming a context for interpreting what you saw.</w:t>
            </w:r>
          </w:p>
        </w:tc>
      </w:tr>
      <w:tr>
        <w:trPr>
          <w:trHeight w:val="5661" w:hRule="atLeast"/>
        </w:trPr>
        <w:tc>
          <w:tcPr>
            <w:tcW w:w="282" w:type="dxa"/>
            <w:vMerge w:val="restart"/>
            <w:tcBorders>
              <w:top w:val="single" w:sz="18" w:space="0" w:color="008B4F"/>
              <w:left w:val="nil"/>
              <w:bottom w:val="nil"/>
              <w:right w:val="nil"/>
            </w:tcBorders>
            <w:shd w:val="clear" w:color="auto" w:fill="008445"/>
          </w:tcPr>
          <w:p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284" w:type="dxa"/>
            <w:gridSpan w:val="2"/>
            <w:tcBorders>
              <w:top w:val="single" w:sz="18" w:space="0" w:color="008B4F"/>
              <w:left w:val="single" w:sz="18" w:space="0" w:color="008445"/>
              <w:bottom w:val="single" w:sz="18" w:space="0" w:color="008B4F"/>
              <w:right w:val="single" w:sz="18" w:space="0" w:color="008445"/>
            </w:tcBorders>
          </w:tcPr>
          <w:p>
            <w:pPr>
              <w:pStyle w:val="TableParagraph"/>
              <w:spacing w:line="288" w:lineRule="auto" w:before="70"/>
              <w:ind w:right="760"/>
              <w:rPr>
                <w:sz w:val="16"/>
              </w:rPr>
            </w:pPr>
            <w:r>
              <w:rPr>
                <w:color w:val="414042"/>
                <w:w w:val="115"/>
                <w:sz w:val="16"/>
              </w:rPr>
              <w:t>Write</w:t>
            </w:r>
            <w:r>
              <w:rPr>
                <w:color w:val="414042"/>
                <w:spacing w:val="-18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a</w:t>
            </w:r>
            <w:r>
              <w:rPr>
                <w:color w:val="414042"/>
                <w:spacing w:val="-17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narrative</w:t>
            </w:r>
            <w:r>
              <w:rPr>
                <w:color w:val="414042"/>
                <w:spacing w:val="-17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using</w:t>
            </w:r>
            <w:r>
              <w:rPr>
                <w:color w:val="414042"/>
                <w:spacing w:val="-17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as</w:t>
            </w:r>
            <w:r>
              <w:rPr>
                <w:color w:val="414042"/>
                <w:spacing w:val="-17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much</w:t>
            </w:r>
            <w:r>
              <w:rPr>
                <w:color w:val="414042"/>
                <w:spacing w:val="-18"/>
                <w:w w:val="115"/>
                <w:sz w:val="16"/>
              </w:rPr>
              <w:t> </w:t>
            </w:r>
            <w:r>
              <w:rPr>
                <w:rFonts w:ascii="Arial-BoldItalicMT" w:hAnsi="Arial-BoldItalicMT"/>
                <w:b/>
                <w:i/>
                <w:color w:val="414042"/>
                <w:w w:val="115"/>
                <w:sz w:val="16"/>
              </w:rPr>
              <w:t>descriptive</w:t>
            </w:r>
            <w:r>
              <w:rPr>
                <w:rFonts w:ascii="Arial-BoldItalicMT" w:hAnsi="Arial-BoldItalicMT"/>
                <w:b/>
                <w:i/>
                <w:color w:val="414042"/>
                <w:spacing w:val="-17"/>
                <w:w w:val="115"/>
                <w:sz w:val="16"/>
              </w:rPr>
              <w:t> </w:t>
            </w:r>
            <w:r>
              <w:rPr>
                <w:rFonts w:ascii="Arial-BoldItalicMT" w:hAnsi="Arial-BoldItalicMT"/>
                <w:b/>
                <w:i/>
                <w:color w:val="414042"/>
                <w:w w:val="115"/>
                <w:sz w:val="16"/>
              </w:rPr>
              <w:t>language</w:t>
            </w:r>
            <w:r>
              <w:rPr>
                <w:rFonts w:ascii="Arial-BoldItalicMT" w:hAnsi="Arial-BoldItalicMT"/>
                <w:b/>
                <w:i/>
                <w:color w:val="414042"/>
                <w:spacing w:val="-17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as</w:t>
            </w:r>
            <w:r>
              <w:rPr>
                <w:color w:val="414042"/>
                <w:spacing w:val="-17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possible</w:t>
            </w:r>
            <w:r>
              <w:rPr>
                <w:color w:val="414042"/>
                <w:spacing w:val="-17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to</w:t>
            </w:r>
            <w:r>
              <w:rPr>
                <w:color w:val="414042"/>
                <w:spacing w:val="-18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tell</w:t>
            </w:r>
            <w:r>
              <w:rPr>
                <w:color w:val="414042"/>
                <w:spacing w:val="-17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the</w:t>
            </w:r>
            <w:r>
              <w:rPr>
                <w:color w:val="414042"/>
                <w:spacing w:val="-17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reader</w:t>
            </w:r>
            <w:r>
              <w:rPr>
                <w:color w:val="414042"/>
                <w:spacing w:val="-17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what</w:t>
            </w:r>
            <w:r>
              <w:rPr>
                <w:color w:val="414042"/>
                <w:spacing w:val="-17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you</w:t>
            </w:r>
            <w:r>
              <w:rPr>
                <w:color w:val="414042"/>
                <w:spacing w:val="-17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think</w:t>
            </w:r>
            <w:r>
              <w:rPr>
                <w:color w:val="414042"/>
                <w:spacing w:val="-18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this</w:t>
            </w:r>
            <w:r>
              <w:rPr>
                <w:color w:val="414042"/>
                <w:spacing w:val="-17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play</w:t>
            </w:r>
            <w:r>
              <w:rPr>
                <w:color w:val="414042"/>
                <w:spacing w:val="-17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was</w:t>
            </w:r>
            <w:r>
              <w:rPr>
                <w:color w:val="414042"/>
                <w:spacing w:val="-17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about. Write</w:t>
            </w:r>
            <w:r>
              <w:rPr>
                <w:color w:val="414042"/>
                <w:spacing w:val="-11"/>
                <w:w w:val="115"/>
                <w:sz w:val="16"/>
              </w:rPr>
              <w:t> </w:t>
            </w:r>
            <w:r>
              <w:rPr>
                <w:color w:val="414042"/>
                <w:spacing w:val="-3"/>
                <w:w w:val="115"/>
                <w:sz w:val="16"/>
              </w:rPr>
              <w:t>freely.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Within</w:t>
            </w:r>
            <w:r>
              <w:rPr>
                <w:color w:val="414042"/>
                <w:spacing w:val="-11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your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description,</w:t>
            </w:r>
            <w:r>
              <w:rPr>
                <w:color w:val="414042"/>
                <w:spacing w:val="-11"/>
                <w:w w:val="115"/>
                <w:sz w:val="16"/>
              </w:rPr>
              <w:t> </w:t>
            </w:r>
            <w:r>
              <w:rPr>
                <w:rFonts w:ascii="Arial-BoldItalicMT" w:hAnsi="Arial-BoldItalicMT"/>
                <w:b/>
                <w:i/>
                <w:color w:val="414042"/>
                <w:w w:val="115"/>
                <w:sz w:val="16"/>
              </w:rPr>
              <w:t>speculate</w:t>
            </w:r>
            <w:r>
              <w:rPr>
                <w:rFonts w:ascii="Arial-BoldItalicMT" w:hAnsi="Arial-BoldItalicMT"/>
                <w:b/>
                <w:i/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rFonts w:ascii="Arial-BoldItalicMT" w:hAnsi="Arial-BoldItalicMT"/>
                <w:b/>
                <w:i/>
                <w:color w:val="414042"/>
                <w:w w:val="115"/>
                <w:sz w:val="16"/>
              </w:rPr>
              <w:t>with</w:t>
            </w:r>
            <w:r>
              <w:rPr>
                <w:rFonts w:ascii="Arial-BoldItalicMT" w:hAnsi="Arial-BoldItalicMT"/>
                <w:b/>
                <w:i/>
                <w:color w:val="414042"/>
                <w:spacing w:val="-11"/>
                <w:w w:val="115"/>
                <w:sz w:val="16"/>
              </w:rPr>
              <w:t> </w:t>
            </w:r>
            <w:r>
              <w:rPr>
                <w:rFonts w:ascii="Arial-BoldItalicMT" w:hAnsi="Arial-BoldItalicMT"/>
                <w:b/>
                <w:i/>
                <w:color w:val="414042"/>
                <w:w w:val="115"/>
                <w:sz w:val="16"/>
              </w:rPr>
              <w:t>statements</w:t>
            </w:r>
            <w:r>
              <w:rPr>
                <w:rFonts w:ascii="Arial-BoldItalicMT" w:hAnsi="Arial-BoldItalicMT"/>
                <w:b/>
                <w:i/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like</w:t>
            </w:r>
            <w:r>
              <w:rPr>
                <w:color w:val="414042"/>
                <w:spacing w:val="-11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“I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think</w:t>
            </w:r>
            <w:r>
              <w:rPr>
                <w:color w:val="414042"/>
                <w:spacing w:val="-11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they</w:t>
            </w:r>
            <w:r>
              <w:rPr>
                <w:color w:val="414042"/>
                <w:spacing w:val="-11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are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doing</w:t>
            </w:r>
            <w:r>
              <w:rPr>
                <w:color w:val="414042"/>
                <w:spacing w:val="-11"/>
                <w:w w:val="115"/>
                <w:sz w:val="16"/>
              </w:rPr>
              <w:t> </w:t>
            </w:r>
            <w:r>
              <w:rPr>
                <w:i/>
                <w:color w:val="414042"/>
                <w:w w:val="115"/>
                <w:sz w:val="16"/>
              </w:rPr>
              <w:t>X</w:t>
            </w:r>
            <w:r>
              <w:rPr>
                <w:i/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because</w:t>
            </w:r>
            <w:r>
              <w:rPr>
                <w:color w:val="414042"/>
                <w:spacing w:val="-11"/>
                <w:w w:val="115"/>
                <w:sz w:val="16"/>
              </w:rPr>
              <w:t> </w:t>
            </w:r>
            <w:r>
              <w:rPr>
                <w:color w:val="414042"/>
                <w:w w:val="115"/>
                <w:sz w:val="16"/>
              </w:rPr>
              <w:t>of</w:t>
            </w:r>
            <w:r>
              <w:rPr>
                <w:color w:val="414042"/>
                <w:spacing w:val="-10"/>
                <w:w w:val="115"/>
                <w:sz w:val="16"/>
              </w:rPr>
              <w:t> </w:t>
            </w:r>
            <w:r>
              <w:rPr>
                <w:i/>
                <w:color w:val="414042"/>
                <w:spacing w:val="-5"/>
                <w:w w:val="115"/>
                <w:sz w:val="16"/>
              </w:rPr>
              <w:t>Y</w:t>
            </w:r>
            <w:r>
              <w:rPr>
                <w:color w:val="414042"/>
                <w:spacing w:val="-5"/>
                <w:w w:val="115"/>
                <w:sz w:val="16"/>
              </w:rPr>
              <w:t>.”</w:t>
            </w:r>
          </w:p>
        </w:tc>
      </w:tr>
      <w:tr>
        <w:trPr>
          <w:trHeight w:val="5661" w:hRule="atLeast"/>
        </w:trPr>
        <w:tc>
          <w:tcPr>
            <w:tcW w:w="2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44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284" w:type="dxa"/>
            <w:gridSpan w:val="2"/>
            <w:tcBorders>
              <w:top w:val="single" w:sz="18" w:space="0" w:color="008B4F"/>
              <w:left w:val="single" w:sz="18" w:space="0" w:color="008445"/>
              <w:bottom w:val="single" w:sz="18" w:space="0" w:color="008B4F"/>
              <w:right w:val="single" w:sz="18" w:space="0" w:color="008445"/>
            </w:tcBorders>
          </w:tcPr>
          <w:p>
            <w:pPr>
              <w:pStyle w:val="TableParagraph"/>
              <w:spacing w:line="288" w:lineRule="auto" w:before="70"/>
              <w:ind w:right="343"/>
              <w:rPr>
                <w:sz w:val="16"/>
              </w:rPr>
            </w:pPr>
            <w:r>
              <w:rPr>
                <w:color w:val="414042"/>
                <w:w w:val="120"/>
                <w:sz w:val="16"/>
              </w:rPr>
              <w:t>Look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at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the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above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paragraph.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Imagine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you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are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the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child/children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you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wrote</w:t>
            </w:r>
            <w:r>
              <w:rPr>
                <w:color w:val="414042"/>
                <w:spacing w:val="-31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about.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Be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those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children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and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write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what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you</w:t>
            </w:r>
            <w:r>
              <w:rPr>
                <w:color w:val="414042"/>
                <w:spacing w:val="-32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are thinking.</w:t>
            </w:r>
            <w:r>
              <w:rPr>
                <w:color w:val="414042"/>
                <w:spacing w:val="-15"/>
                <w:w w:val="120"/>
                <w:sz w:val="16"/>
              </w:rPr>
              <w:t> </w:t>
            </w:r>
            <w:r>
              <w:rPr>
                <w:color w:val="414042"/>
                <w:spacing w:val="-4"/>
                <w:w w:val="120"/>
                <w:sz w:val="16"/>
              </w:rPr>
              <w:t>(We</w:t>
            </w:r>
            <w:r>
              <w:rPr>
                <w:color w:val="414042"/>
                <w:spacing w:val="-14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ask</w:t>
            </w:r>
            <w:r>
              <w:rPr>
                <w:color w:val="414042"/>
                <w:spacing w:val="-15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you</w:t>
            </w:r>
            <w:r>
              <w:rPr>
                <w:color w:val="414042"/>
                <w:spacing w:val="-14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to</w:t>
            </w:r>
            <w:r>
              <w:rPr>
                <w:color w:val="414042"/>
                <w:spacing w:val="-14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complete</w:t>
            </w:r>
            <w:r>
              <w:rPr>
                <w:color w:val="414042"/>
                <w:spacing w:val="-15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this</w:t>
            </w:r>
            <w:r>
              <w:rPr>
                <w:color w:val="414042"/>
                <w:spacing w:val="-14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task</w:t>
            </w:r>
            <w:r>
              <w:rPr>
                <w:color w:val="414042"/>
                <w:spacing w:val="-14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to</w:t>
            </w:r>
            <w:r>
              <w:rPr>
                <w:color w:val="414042"/>
                <w:spacing w:val="-15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help</w:t>
            </w:r>
            <w:r>
              <w:rPr>
                <w:color w:val="414042"/>
                <w:spacing w:val="-14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you</w:t>
            </w:r>
            <w:r>
              <w:rPr>
                <w:color w:val="414042"/>
                <w:spacing w:val="-14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dig</w:t>
            </w:r>
            <w:r>
              <w:rPr>
                <w:color w:val="414042"/>
                <w:spacing w:val="-15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a</w:t>
            </w:r>
            <w:r>
              <w:rPr>
                <w:color w:val="414042"/>
                <w:spacing w:val="-14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bit</w:t>
            </w:r>
            <w:r>
              <w:rPr>
                <w:color w:val="414042"/>
                <w:spacing w:val="-14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more</w:t>
            </w:r>
            <w:r>
              <w:rPr>
                <w:color w:val="414042"/>
                <w:spacing w:val="-15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deeply</w:t>
            </w:r>
            <w:r>
              <w:rPr>
                <w:color w:val="414042"/>
                <w:spacing w:val="-14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into</w:t>
            </w:r>
            <w:r>
              <w:rPr>
                <w:color w:val="414042"/>
                <w:spacing w:val="-14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the</w:t>
            </w:r>
            <w:r>
              <w:rPr>
                <w:color w:val="414042"/>
                <w:spacing w:val="-15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perspective</w:t>
            </w:r>
            <w:r>
              <w:rPr>
                <w:color w:val="414042"/>
                <w:spacing w:val="-14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of</w:t>
            </w:r>
            <w:r>
              <w:rPr>
                <w:color w:val="414042"/>
                <w:spacing w:val="-14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the</w:t>
            </w:r>
            <w:r>
              <w:rPr>
                <w:color w:val="414042"/>
                <w:spacing w:val="-15"/>
                <w:w w:val="120"/>
                <w:sz w:val="16"/>
              </w:rPr>
              <w:t> </w:t>
            </w:r>
            <w:r>
              <w:rPr>
                <w:color w:val="414042"/>
                <w:w w:val="120"/>
                <w:sz w:val="16"/>
              </w:rPr>
              <w:t>child.)</w:t>
            </w:r>
          </w:p>
        </w:tc>
      </w:tr>
    </w:tbl>
    <w:p>
      <w:pPr>
        <w:spacing w:line="240" w:lineRule="auto" w:before="1"/>
        <w:rPr>
          <w:rFonts w:ascii="Times New Roman"/>
          <w:sz w:val="6"/>
        </w:rPr>
      </w:pPr>
    </w:p>
    <w:p>
      <w:pPr>
        <w:spacing w:line="312" w:lineRule="auto" w:before="107"/>
        <w:ind w:left="788" w:right="425" w:hanging="155"/>
        <w:jc w:val="left"/>
        <w:rPr>
          <w:sz w:val="12"/>
        </w:rPr>
      </w:pPr>
      <w:r>
        <w:rPr>
          <w:i/>
          <w:color w:val="414042"/>
          <w:w w:val="105"/>
          <w:sz w:val="12"/>
        </w:rPr>
        <w:t>FROM CHILDREN'S INTERESTS TO CHILDREN'S THINKING: USING A CYCLE OF INQUIRY TO PLAN CURRICULUM, </w:t>
      </w:r>
      <w:r>
        <w:rPr>
          <w:color w:val="414042"/>
          <w:w w:val="105"/>
          <w:sz w:val="12"/>
        </w:rPr>
        <w:t>BY JANE TINGLE BRODERICK AND SEONG BOCK HONG. COPYRIGHT © 2020 BY NATIONAL ASSOCIATION FOR THE EDUCATION OF YOUNG CHILDREN. ALL RIGHTS RESERVED.</w:t>
      </w:r>
    </w:p>
    <w:sectPr>
      <w:type w:val="continuous"/>
      <w:pgSz w:w="12060" w:h="15660"/>
      <w:pgMar w:top="0" w:bottom="0" w:left="56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87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2020-05-18T19:24:12Z</dcterms:created>
  <dcterms:modified xsi:type="dcterms:W3CDTF">2020-05-18T19:24:12Z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2020-05-18T00:00:00Z</vt:filetime>
  </property>
</Properties>
</file>